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C9438" w14:textId="3382CF2C" w:rsidR="005B0503" w:rsidRDefault="00651A59" w:rsidP="00651A59">
      <w:bookmarkStart w:id="0" w:name="_GoBack"/>
      <w:bookmarkEnd w:id="0"/>
      <w:r>
        <w:rPr>
          <w:rFonts w:ascii="Arial" w:hAnsi="Arial" w:cs="Arial"/>
          <w:noProof/>
          <w:sz w:val="19"/>
          <w:szCs w:val="19"/>
          <w:lang w:val="en-US"/>
        </w:rPr>
        <w:drawing>
          <wp:inline distT="0" distB="0" distL="0" distR="0" wp14:anchorId="680CCFAF" wp14:editId="4E8854CD">
            <wp:extent cx="3209925" cy="282306"/>
            <wp:effectExtent l="0" t="0" r="0" b="3810"/>
            <wp:docPr id="2" name="Picture 2" descr="CRA FIP signature - English,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A FIP signature - English, R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291" cy="29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rFonts w:ascii="Arial" w:hAnsi="Arial" w:cs="Arial"/>
          <w:noProof/>
          <w:sz w:val="19"/>
          <w:szCs w:val="19"/>
          <w:lang w:val="en-US"/>
        </w:rPr>
        <w:drawing>
          <wp:inline distT="0" distB="0" distL="0" distR="0" wp14:anchorId="6CFA2666" wp14:editId="53A01B14">
            <wp:extent cx="1181100" cy="281215"/>
            <wp:effectExtent l="0" t="0" r="0" b="5080"/>
            <wp:docPr id="4" name="Picture 4" descr="Canada wordmark -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nada wordmark - R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114" cy="31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E9ECA" w14:textId="183E69CD" w:rsidR="004F50C9" w:rsidRDefault="004F50C9" w:rsidP="004F50C9">
      <w:pPr>
        <w:pStyle w:val="Heading2"/>
        <w:spacing w:before="0" w:line="240" w:lineRule="auto"/>
        <w:rPr>
          <w:rFonts w:ascii="Century Gothic" w:eastAsiaTheme="minorHAnsi" w:hAnsi="Century Gothic" w:cs="Arial"/>
          <w:b w:val="0"/>
          <w:bCs w:val="0"/>
          <w:i/>
          <w:iCs/>
          <w:color w:val="auto"/>
          <w:sz w:val="17"/>
          <w:szCs w:val="17"/>
          <w:lang w:val="en-US"/>
        </w:rPr>
      </w:pPr>
      <w:r w:rsidRPr="004F50C9">
        <w:rPr>
          <w:rFonts w:ascii="Century Gothic" w:eastAsiaTheme="minorHAnsi" w:hAnsi="Century Gothic" w:cs="Arial"/>
          <w:b w:val="0"/>
          <w:bCs w:val="0"/>
          <w:i/>
          <w:iCs/>
          <w:color w:val="auto"/>
          <w:sz w:val="17"/>
          <w:szCs w:val="17"/>
          <w:lang w:val="en-US"/>
        </w:rPr>
        <w:t xml:space="preserve">Your association or organization </w:t>
      </w:r>
      <w:proofErr w:type="gramStart"/>
      <w:r w:rsidRPr="004F50C9">
        <w:rPr>
          <w:rFonts w:ascii="Century Gothic" w:eastAsiaTheme="minorHAnsi" w:hAnsi="Century Gothic" w:cs="Arial"/>
          <w:b w:val="0"/>
          <w:bCs w:val="0"/>
          <w:i/>
          <w:iCs/>
          <w:color w:val="auto"/>
          <w:sz w:val="17"/>
          <w:szCs w:val="17"/>
          <w:lang w:val="en-US"/>
        </w:rPr>
        <w:t>has been identified</w:t>
      </w:r>
      <w:proofErr w:type="gramEnd"/>
      <w:r w:rsidRPr="004F50C9">
        <w:rPr>
          <w:rFonts w:ascii="Century Gothic" w:eastAsiaTheme="minorHAnsi" w:hAnsi="Century Gothic" w:cs="Arial"/>
          <w:b w:val="0"/>
          <w:bCs w:val="0"/>
          <w:i/>
          <w:iCs/>
          <w:color w:val="auto"/>
          <w:sz w:val="17"/>
          <w:szCs w:val="17"/>
          <w:lang w:val="en-US"/>
        </w:rPr>
        <w:t xml:space="preserve"> as a key stakeholder of the Canada Revenue Agency (CRA). We hope you will share the following information with your membership.</w:t>
      </w:r>
    </w:p>
    <w:p w14:paraId="1CE0EAF4" w14:textId="77777777" w:rsidR="001A0A8B" w:rsidRDefault="001A0A8B" w:rsidP="00514249">
      <w:pPr>
        <w:spacing w:after="160" w:line="259" w:lineRule="auto"/>
        <w:rPr>
          <w:rFonts w:ascii="Century Gothic" w:eastAsia="Times New Roman" w:hAnsi="Century Gothic" w:cs="Calibri"/>
          <w:b/>
          <w:bCs/>
          <w:sz w:val="26"/>
          <w:szCs w:val="26"/>
        </w:rPr>
      </w:pPr>
    </w:p>
    <w:p w14:paraId="10651F28" w14:textId="6813D9D7" w:rsidR="005A776B" w:rsidRPr="00F602AA" w:rsidRDefault="00F602AA" w:rsidP="00F602AA">
      <w:pPr>
        <w:pStyle w:val="NormalWeb"/>
        <w:spacing w:before="120" w:beforeAutospacing="0"/>
        <w:jc w:val="center"/>
        <w:rPr>
          <w:rFonts w:ascii="Century Gothic" w:hAnsi="Century Gothic"/>
          <w:caps/>
          <w:sz w:val="20"/>
          <w:szCs w:val="19"/>
          <w:lang w:val="en"/>
        </w:rPr>
      </w:pPr>
      <w:r w:rsidRPr="00F602AA">
        <w:rPr>
          <w:rFonts w:ascii="Century Gothic" w:eastAsia="Times New Roman" w:hAnsi="Century Gothic" w:cs="Calibri"/>
          <w:b/>
          <w:bCs/>
          <w:caps/>
          <w:sz w:val="26"/>
          <w:szCs w:val="26"/>
          <w:lang w:eastAsia="en-US"/>
        </w:rPr>
        <w:t>What the new Canadian fuel charge means for interjurisdictional road carriers</w:t>
      </w:r>
    </w:p>
    <w:p w14:paraId="0C65B396" w14:textId="77777777" w:rsidR="00D81109" w:rsidRDefault="00D81109" w:rsidP="00D81109">
      <w:pPr>
        <w:spacing w:after="0"/>
        <w:rPr>
          <w:rFonts w:ascii="Times New Roman" w:eastAsia="Times New Roman" w:hAnsi="Times New Roman" w:cs="Times New Roman"/>
          <w:color w:val="404040" w:themeColor="text1" w:themeTint="BF"/>
          <w:lang w:val="en-US"/>
        </w:rPr>
      </w:pPr>
      <w:bookmarkStart w:id="1" w:name="_Toc519085360"/>
      <w:r w:rsidRPr="00B8031A">
        <w:rPr>
          <w:rFonts w:ascii="Times New Roman" w:hAnsi="Times New Roman" w:cs="Times New Roman"/>
          <w:color w:val="404040" w:themeColor="text1" w:themeTint="BF"/>
        </w:rPr>
        <w:t xml:space="preserve">Making sure there is a price on carbon pollution is an important part of the </w:t>
      </w:r>
      <w:r>
        <w:rPr>
          <w:rFonts w:ascii="Times New Roman" w:hAnsi="Times New Roman" w:cs="Times New Roman"/>
          <w:color w:val="404040" w:themeColor="text1" w:themeTint="BF"/>
        </w:rPr>
        <w:t>Government of Canada’s</w:t>
      </w:r>
      <w:r w:rsidRPr="00B8031A">
        <w:rPr>
          <w:rFonts w:ascii="Times New Roman" w:hAnsi="Times New Roman" w:cs="Times New Roman"/>
          <w:color w:val="404040" w:themeColor="text1" w:themeTint="BF"/>
        </w:rPr>
        <w:t xml:space="preserve"> climate action plan.</w:t>
      </w:r>
      <w:r w:rsidRPr="00B8031A">
        <w:t xml:space="preserve"> </w:t>
      </w:r>
      <w:r>
        <w:rPr>
          <w:rFonts w:ascii="Times New Roman" w:hAnsi="Times New Roman" w:cs="Times New Roman"/>
          <w:color w:val="404040" w:themeColor="text1" w:themeTint="BF"/>
        </w:rPr>
        <w:t>Under this plan,</w:t>
      </w:r>
      <w:r w:rsidRPr="00B8031A">
        <w:rPr>
          <w:rFonts w:ascii="Times New Roman" w:hAnsi="Times New Roman" w:cs="Times New Roman"/>
          <w:color w:val="404040" w:themeColor="text1" w:themeTint="BF"/>
        </w:rPr>
        <w:t xml:space="preserve"> </w:t>
      </w:r>
      <w:r w:rsidRPr="005247E6">
        <w:rPr>
          <w:rFonts w:ascii="Times New Roman" w:hAnsi="Times New Roman" w:cs="Times New Roman"/>
          <w:color w:val="404040" w:themeColor="text1" w:themeTint="BF"/>
        </w:rPr>
        <w:t xml:space="preserve">a new fuel charge </w:t>
      </w:r>
      <w:proofErr w:type="gramStart"/>
      <w:r w:rsidRPr="008F6F3D">
        <w:rPr>
          <w:rFonts w:ascii="Times New Roman" w:hAnsi="Times New Roman" w:cs="Times New Roman"/>
          <w:color w:val="404040" w:themeColor="text1" w:themeTint="BF"/>
        </w:rPr>
        <w:t>was introduced</w:t>
      </w:r>
      <w:proofErr w:type="gramEnd"/>
      <w:r w:rsidRPr="008F6F3D">
        <w:rPr>
          <w:rFonts w:ascii="Times New Roman" w:hAnsi="Times New Roman" w:cs="Times New Roman"/>
          <w:color w:val="404040" w:themeColor="text1" w:themeTint="BF"/>
        </w:rPr>
        <w:t xml:space="preserve"> as part of the Greenhouse Gas Pollution Pricing Act (the Act) which </w:t>
      </w:r>
      <w:r w:rsidRPr="005247E6">
        <w:rPr>
          <w:rFonts w:ascii="Times New Roman" w:hAnsi="Times New Roman" w:cs="Times New Roman"/>
          <w:color w:val="404040" w:themeColor="text1" w:themeTint="BF"/>
        </w:rPr>
        <w:t xml:space="preserve">will be </w:t>
      </w:r>
      <w:r w:rsidRPr="005247E6">
        <w:rPr>
          <w:rFonts w:ascii="Times New Roman" w:eastAsia="Times New Roman" w:hAnsi="Times New Roman" w:cs="Times New Roman"/>
          <w:color w:val="404040" w:themeColor="text1" w:themeTint="BF"/>
          <w:lang w:val="en-US"/>
        </w:rPr>
        <w:t xml:space="preserve">administered by the Canada Revenue Agency </w:t>
      </w:r>
      <w:r>
        <w:rPr>
          <w:rFonts w:ascii="Times New Roman" w:eastAsia="Times New Roman" w:hAnsi="Times New Roman" w:cs="Times New Roman"/>
          <w:color w:val="404040" w:themeColor="text1" w:themeTint="BF"/>
          <w:lang w:val="en-US"/>
        </w:rPr>
        <w:t>(CRA).</w:t>
      </w:r>
    </w:p>
    <w:p w14:paraId="34A736FE" w14:textId="77777777" w:rsidR="00D81109" w:rsidRDefault="00D81109" w:rsidP="00D81109">
      <w:pPr>
        <w:spacing w:after="0"/>
        <w:rPr>
          <w:rFonts w:ascii="Times New Roman" w:eastAsia="Times New Roman" w:hAnsi="Times New Roman" w:cs="Times New Roman"/>
          <w:color w:val="404040" w:themeColor="text1" w:themeTint="BF"/>
          <w:lang w:val="en-US"/>
        </w:rPr>
      </w:pPr>
    </w:p>
    <w:p w14:paraId="0DF57C47" w14:textId="77777777" w:rsidR="00D81109" w:rsidRPr="005247E6" w:rsidRDefault="00D81109" w:rsidP="00D81109">
      <w:pPr>
        <w:spacing w:after="0"/>
        <w:rPr>
          <w:rFonts w:ascii="Times New Roman" w:hAnsi="Times New Roman" w:cs="Times New Roman"/>
          <w:color w:val="404040" w:themeColor="text1" w:themeTint="BF"/>
          <w:lang w:eastAsia="en-CA"/>
        </w:rPr>
      </w:pPr>
      <w:r>
        <w:rPr>
          <w:rFonts w:ascii="Times New Roman" w:eastAsia="Times New Roman" w:hAnsi="Times New Roman" w:cs="Times New Roman"/>
          <w:color w:val="404040" w:themeColor="text1" w:themeTint="BF"/>
          <w:lang w:val="en-US"/>
        </w:rPr>
        <w:t>The fuel charge</w:t>
      </w:r>
      <w:r w:rsidRPr="005247E6">
        <w:rPr>
          <w:rFonts w:ascii="Times New Roman" w:eastAsia="Times New Roman" w:hAnsi="Times New Roman" w:cs="Times New Roman"/>
          <w:color w:val="404040" w:themeColor="text1" w:themeTint="BF"/>
          <w:lang w:val="en-US"/>
        </w:rPr>
        <w:t xml:space="preserve"> </w:t>
      </w:r>
      <w:proofErr w:type="gramStart"/>
      <w:r w:rsidRPr="005247E6">
        <w:rPr>
          <w:rFonts w:ascii="Times New Roman" w:hAnsi="Times New Roman" w:cs="Times New Roman"/>
          <w:color w:val="404040" w:themeColor="text1" w:themeTint="BF"/>
          <w:lang w:eastAsia="en-CA"/>
        </w:rPr>
        <w:t>is expected</w:t>
      </w:r>
      <w:proofErr w:type="gramEnd"/>
      <w:r w:rsidRPr="005247E6">
        <w:rPr>
          <w:rFonts w:ascii="Times New Roman" w:hAnsi="Times New Roman" w:cs="Times New Roman"/>
          <w:color w:val="404040" w:themeColor="text1" w:themeTint="BF"/>
          <w:lang w:eastAsia="en-CA"/>
        </w:rPr>
        <w:t xml:space="preserve"> to be effective April 1, 2019 for the provinces of Manitoba, New Brunswick, Ontario and Saskatchewan and July 1, 2019 for the territories of Nunavut and Yukon</w:t>
      </w:r>
      <w:r>
        <w:rPr>
          <w:rFonts w:ascii="Times New Roman" w:hAnsi="Times New Roman" w:cs="Times New Roman"/>
          <w:color w:val="404040" w:themeColor="text1" w:themeTint="BF"/>
          <w:lang w:eastAsia="en-CA"/>
        </w:rPr>
        <w:t xml:space="preserve">. </w:t>
      </w:r>
      <w:r w:rsidRPr="005247E6">
        <w:rPr>
          <w:rFonts w:ascii="Times New Roman" w:hAnsi="Times New Roman" w:cs="Times New Roman"/>
          <w:color w:val="404040" w:themeColor="text1" w:themeTint="BF"/>
          <w:lang w:eastAsia="en-CA"/>
        </w:rPr>
        <w:t xml:space="preserve">These </w:t>
      </w:r>
      <w:proofErr w:type="gramStart"/>
      <w:r w:rsidRPr="005247E6">
        <w:rPr>
          <w:rFonts w:ascii="Times New Roman" w:hAnsi="Times New Roman" w:cs="Times New Roman"/>
          <w:color w:val="404040" w:themeColor="text1" w:themeTint="BF"/>
          <w:lang w:eastAsia="en-CA"/>
        </w:rPr>
        <w:t xml:space="preserve">will be </w:t>
      </w:r>
      <w:r w:rsidRPr="005247E6">
        <w:rPr>
          <w:rFonts w:ascii="Times New Roman" w:eastAsia="HGMinchoE" w:hAnsi="Times New Roman" w:cs="Times New Roman"/>
          <w:color w:val="404040" w:themeColor="text1" w:themeTint="BF"/>
          <w:lang w:val="en-US" w:eastAsia="ja-JP"/>
        </w:rPr>
        <w:t>known</w:t>
      </w:r>
      <w:proofErr w:type="gramEnd"/>
      <w:r w:rsidRPr="005247E6">
        <w:rPr>
          <w:rFonts w:ascii="Times New Roman" w:eastAsia="HGMinchoE" w:hAnsi="Times New Roman" w:cs="Times New Roman"/>
          <w:color w:val="404040" w:themeColor="text1" w:themeTint="BF"/>
          <w:lang w:val="en-US" w:eastAsia="ja-JP"/>
        </w:rPr>
        <w:t xml:space="preserve"> as </w:t>
      </w:r>
      <w:r>
        <w:rPr>
          <w:rFonts w:ascii="Times New Roman" w:eastAsia="HGMinchoE" w:hAnsi="Times New Roman" w:cs="Times New Roman"/>
          <w:color w:val="404040" w:themeColor="text1" w:themeTint="BF"/>
          <w:lang w:val="en-US" w:eastAsia="ja-JP"/>
        </w:rPr>
        <w:t>“</w:t>
      </w:r>
      <w:r w:rsidRPr="005247E6">
        <w:rPr>
          <w:rFonts w:ascii="Times New Roman" w:eastAsia="HGMinchoE" w:hAnsi="Times New Roman" w:cs="Times New Roman"/>
          <w:color w:val="404040" w:themeColor="text1" w:themeTint="BF"/>
          <w:lang w:val="en-US" w:eastAsia="ja-JP"/>
        </w:rPr>
        <w:t>listed provinces</w:t>
      </w:r>
      <w:r>
        <w:rPr>
          <w:rFonts w:ascii="Times New Roman" w:eastAsia="HGMinchoE" w:hAnsi="Times New Roman" w:cs="Times New Roman"/>
          <w:color w:val="404040" w:themeColor="text1" w:themeTint="BF"/>
          <w:lang w:val="en-US" w:eastAsia="ja-JP"/>
        </w:rPr>
        <w:t>”. The fuel charge will not apply on fuel used outside these jurisdictions.</w:t>
      </w:r>
      <w:r w:rsidRPr="005247E6">
        <w:rPr>
          <w:rFonts w:ascii="Times New Roman" w:hAnsi="Times New Roman" w:cs="Times New Roman"/>
          <w:color w:val="404040" w:themeColor="text1" w:themeTint="BF"/>
          <w:lang w:eastAsia="en-CA"/>
        </w:rPr>
        <w:t xml:space="preserve">  </w:t>
      </w:r>
    </w:p>
    <w:p w14:paraId="1DAD66A5" w14:textId="77777777" w:rsidR="00D81109" w:rsidRDefault="00D81109" w:rsidP="00D81109">
      <w:pPr>
        <w:spacing w:after="0"/>
        <w:rPr>
          <w:rFonts w:ascii="Times New Roman" w:hAnsi="Times New Roman" w:cs="Times New Roman"/>
          <w:color w:val="404040" w:themeColor="text1" w:themeTint="BF"/>
        </w:rPr>
      </w:pPr>
    </w:p>
    <w:p w14:paraId="204779EC" w14:textId="77777777" w:rsidR="00D81109" w:rsidRPr="00D44DA4" w:rsidRDefault="00D81109" w:rsidP="00D81109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D44DA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Registration</w:t>
      </w:r>
    </w:p>
    <w:p w14:paraId="711D0C20" w14:textId="77777777" w:rsidR="00D81109" w:rsidRDefault="00D81109" w:rsidP="00D81109">
      <w:pPr>
        <w:spacing w:after="0"/>
        <w:rPr>
          <w:rFonts w:ascii="Times New Roman" w:hAnsi="Times New Roman" w:cs="Times New Roman"/>
          <w:color w:val="404040" w:themeColor="text1" w:themeTint="BF"/>
        </w:rPr>
      </w:pPr>
      <w:r w:rsidRPr="005247E6">
        <w:rPr>
          <w:rFonts w:ascii="Times New Roman" w:hAnsi="Times New Roman" w:cs="Times New Roman"/>
          <w:color w:val="404040" w:themeColor="text1" w:themeTint="BF"/>
          <w:lang w:eastAsia="en-CA"/>
        </w:rPr>
        <w:t>E</w:t>
      </w:r>
      <w:r w:rsidRPr="005247E6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very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>interjurisdictional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 road carrier that </w:t>
      </w:r>
      <w:r w:rsidRPr="005247E6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uses fuel that is gasoline, light fuel oil (diesel), marketable natural gas or propane, in a specified commercial vehicle, in a listed province, </w:t>
      </w:r>
      <w:proofErr w:type="gramStart"/>
      <w:r w:rsidRPr="005247E6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is </w:t>
      </w:r>
      <w:r w:rsidRPr="00FD6A6E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>required</w:t>
      </w:r>
      <w:r w:rsidRPr="00AE6F55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 </w:t>
      </w:r>
      <w:r w:rsidRPr="005247E6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to </w:t>
      </w:r>
      <w:r w:rsidRPr="00AE6F55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>be registered</w:t>
      </w:r>
      <w:proofErr w:type="gramEnd"/>
      <w:r w:rsidRPr="00AE6F55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 as a road carrier with the </w:t>
      </w:r>
      <w:r w:rsidRPr="00AE6F55">
        <w:rPr>
          <w:rFonts w:ascii="Times New Roman" w:eastAsia="Times New Roman" w:hAnsi="Times New Roman" w:cs="Times New Roman"/>
          <w:color w:val="404040" w:themeColor="text1" w:themeTint="BF"/>
          <w:lang w:val="en-US"/>
        </w:rPr>
        <w:t>CRA</w:t>
      </w:r>
      <w:r w:rsidRPr="00AE6F55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>.</w:t>
      </w:r>
      <w:r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  Generally, any road carrier that provides commercial transportation of individuals or goods by road from one province to another or from a location that is outside of Canada to another location in Canada, and the road carrier travels to or through a listed province, will be required to register.</w:t>
      </w:r>
      <w:r>
        <w:rPr>
          <w:rFonts w:ascii="Times New Roman" w:hAnsi="Times New Roman" w:cs="Times New Roman"/>
          <w:color w:val="404040" w:themeColor="text1" w:themeTint="BF"/>
        </w:rPr>
        <w:t xml:space="preserve"> </w:t>
      </w:r>
    </w:p>
    <w:p w14:paraId="02672D14" w14:textId="77777777" w:rsidR="00D81109" w:rsidRDefault="00D81109" w:rsidP="00D81109">
      <w:pPr>
        <w:tabs>
          <w:tab w:val="left" w:pos="3276"/>
        </w:tabs>
        <w:spacing w:after="0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ab/>
      </w:r>
    </w:p>
    <w:p w14:paraId="4B38F8B6" w14:textId="77777777" w:rsidR="00D81109" w:rsidRDefault="00D81109" w:rsidP="00D81109">
      <w:pPr>
        <w:spacing w:after="0"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These r</w:t>
      </w:r>
      <w:r w:rsidRPr="005247E6">
        <w:rPr>
          <w:rFonts w:ascii="Times New Roman" w:eastAsia="Times New Roman" w:hAnsi="Times New Roman" w:cs="Times New Roman"/>
          <w:color w:val="404040" w:themeColor="text1" w:themeTint="BF"/>
        </w:rPr>
        <w:t>oad carrier</w:t>
      </w:r>
      <w:r>
        <w:rPr>
          <w:rFonts w:ascii="Times New Roman" w:eastAsia="Times New Roman" w:hAnsi="Times New Roman" w:cs="Times New Roman"/>
          <w:color w:val="404040" w:themeColor="text1" w:themeTint="BF"/>
        </w:rPr>
        <w:t>s</w:t>
      </w:r>
      <w:r w:rsidRPr="005247E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must </w:t>
      </w:r>
      <w:hyperlink r:id="rId7" w:history="1">
        <w:r w:rsidRPr="00D849D0">
          <w:rPr>
            <w:rStyle w:val="Hyperlink"/>
            <w:rFonts w:ascii="Times New Roman" w:eastAsia="Times New Roman" w:hAnsi="Times New Roman" w:cs="Times New Roman"/>
          </w:rPr>
          <w:t>register</w:t>
        </w:r>
      </w:hyperlink>
      <w:r w:rsidRPr="00D849D0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with the CRA </w:t>
      </w:r>
      <w:r w:rsidRPr="005247E6">
        <w:rPr>
          <w:rFonts w:ascii="Times New Roman" w:eastAsia="Times New Roman" w:hAnsi="Times New Roman" w:cs="Times New Roman"/>
          <w:color w:val="404040" w:themeColor="text1" w:themeTint="BF"/>
        </w:rPr>
        <w:t>by April 1, 2019, for business activities in Manitoba, New Brunswick, Ontario and Saskatchewan, and July 1, 2019, for business activities in Nunavut and Yukon.</w:t>
      </w: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14:paraId="63AA2A8B" w14:textId="77777777" w:rsidR="00D81109" w:rsidRDefault="00D81109" w:rsidP="00D81109">
      <w:pPr>
        <w:spacing w:after="0"/>
        <w:rPr>
          <w:rFonts w:ascii="Times New Roman" w:hAnsi="Times New Roman" w:cs="Times New Roman"/>
          <w:color w:val="404040" w:themeColor="text1" w:themeTint="BF"/>
        </w:rPr>
      </w:pPr>
    </w:p>
    <w:p w14:paraId="122F11D5" w14:textId="77777777" w:rsidR="00D81109" w:rsidRPr="00D44DA4" w:rsidRDefault="00D81109" w:rsidP="00D81109">
      <w:pPr>
        <w:spacing w:after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D44DA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Reporting to the CRA</w:t>
      </w:r>
    </w:p>
    <w:p w14:paraId="32CBCB1B" w14:textId="77777777" w:rsidR="00D81109" w:rsidRPr="005247E6" w:rsidRDefault="00D81109" w:rsidP="00D81109">
      <w:pPr>
        <w:spacing w:after="0"/>
        <w:rPr>
          <w:rFonts w:ascii="Times New Roman" w:hAnsi="Times New Roman" w:cs="Times New Roman"/>
          <w:color w:val="404040" w:themeColor="text1" w:themeTint="BF"/>
          <w:lang w:eastAsia="en-CA"/>
        </w:rPr>
      </w:pPr>
      <w:r w:rsidRPr="005247E6">
        <w:rPr>
          <w:rFonts w:ascii="Times New Roman" w:hAnsi="Times New Roman" w:cs="Times New Roman"/>
          <w:color w:val="404040" w:themeColor="text1" w:themeTint="BF"/>
          <w:lang w:val="en-US" w:eastAsia="en-CA"/>
        </w:rPr>
        <w:t>I</w:t>
      </w:r>
      <w:proofErr w:type="spellStart"/>
      <w:r w:rsidRPr="005247E6">
        <w:rPr>
          <w:rFonts w:ascii="Times New Roman" w:hAnsi="Times New Roman" w:cs="Times New Roman"/>
          <w:color w:val="404040" w:themeColor="text1" w:themeTint="BF"/>
          <w:lang w:eastAsia="en-CA"/>
        </w:rPr>
        <w:t>nterjurisdictional</w:t>
      </w:r>
      <w:proofErr w:type="spellEnd"/>
      <w:r w:rsidRPr="005247E6">
        <w:rPr>
          <w:rFonts w:ascii="Times New Roman" w:hAnsi="Times New Roman" w:cs="Times New Roman"/>
          <w:color w:val="404040" w:themeColor="text1" w:themeTint="BF"/>
          <w:lang w:eastAsia="en-CA"/>
        </w:rPr>
        <w:t xml:space="preserve"> road carriers will </w:t>
      </w:r>
      <w:r>
        <w:rPr>
          <w:rFonts w:ascii="Times New Roman" w:hAnsi="Times New Roman" w:cs="Times New Roman"/>
          <w:color w:val="404040" w:themeColor="text1" w:themeTint="BF"/>
          <w:lang w:eastAsia="en-CA"/>
        </w:rPr>
        <w:t xml:space="preserve">generally report fuel that </w:t>
      </w:r>
      <w:proofErr w:type="gramStart"/>
      <w:r>
        <w:rPr>
          <w:rFonts w:ascii="Times New Roman" w:hAnsi="Times New Roman" w:cs="Times New Roman"/>
          <w:color w:val="404040" w:themeColor="text1" w:themeTint="BF"/>
          <w:lang w:eastAsia="en-CA"/>
        </w:rPr>
        <w:t xml:space="preserve">is </w:t>
      </w:r>
      <w:r w:rsidRPr="005247E6">
        <w:rPr>
          <w:rFonts w:ascii="Times New Roman" w:hAnsi="Times New Roman" w:cs="Times New Roman"/>
          <w:color w:val="404040" w:themeColor="text1" w:themeTint="BF"/>
          <w:lang w:eastAsia="en-CA"/>
        </w:rPr>
        <w:t>used</w:t>
      </w:r>
      <w:proofErr w:type="gramEnd"/>
      <w:r w:rsidRPr="005247E6">
        <w:rPr>
          <w:rFonts w:ascii="Times New Roman" w:hAnsi="Times New Roman" w:cs="Times New Roman"/>
          <w:color w:val="404040" w:themeColor="text1" w:themeTint="BF"/>
          <w:lang w:eastAsia="en-CA"/>
        </w:rPr>
        <w:t xml:space="preserve"> within a listed province</w:t>
      </w:r>
      <w:r>
        <w:rPr>
          <w:rFonts w:ascii="Times New Roman" w:hAnsi="Times New Roman" w:cs="Times New Roman"/>
          <w:color w:val="404040" w:themeColor="text1" w:themeTint="BF"/>
          <w:lang w:eastAsia="en-CA"/>
        </w:rPr>
        <w:t xml:space="preserve">.  Purchases of fuel within a listed province will be inclusive of the charge. Consequently, </w:t>
      </w:r>
      <w:r w:rsidRPr="005247E6">
        <w:rPr>
          <w:rFonts w:ascii="Times New Roman" w:hAnsi="Times New Roman" w:cs="Times New Roman"/>
          <w:color w:val="404040" w:themeColor="text1" w:themeTint="BF"/>
          <w:lang w:eastAsia="en-CA"/>
        </w:rPr>
        <w:t xml:space="preserve">fuel that </w:t>
      </w:r>
      <w:proofErr w:type="gramStart"/>
      <w:r w:rsidRPr="005247E6">
        <w:rPr>
          <w:rFonts w:ascii="Times New Roman" w:hAnsi="Times New Roman" w:cs="Times New Roman"/>
          <w:color w:val="404040" w:themeColor="text1" w:themeTint="BF"/>
          <w:lang w:eastAsia="en-CA"/>
        </w:rPr>
        <w:t>is purchased</w:t>
      </w:r>
      <w:r>
        <w:rPr>
          <w:rFonts w:ascii="Times New Roman" w:hAnsi="Times New Roman" w:cs="Times New Roman"/>
          <w:color w:val="404040" w:themeColor="text1" w:themeTint="BF"/>
          <w:lang w:eastAsia="en-CA"/>
        </w:rPr>
        <w:t xml:space="preserve"> at a retail outlet</w:t>
      </w:r>
      <w:r w:rsidRPr="005247E6">
        <w:rPr>
          <w:rFonts w:ascii="Times New Roman" w:hAnsi="Times New Roman" w:cs="Times New Roman"/>
          <w:color w:val="404040" w:themeColor="text1" w:themeTint="BF"/>
          <w:lang w:eastAsia="en-CA"/>
        </w:rPr>
        <w:t xml:space="preserve"> in a listed province but used outside the listed province</w:t>
      </w:r>
      <w:proofErr w:type="gramEnd"/>
      <w:r w:rsidRPr="005247E6">
        <w:rPr>
          <w:rFonts w:ascii="Times New Roman" w:hAnsi="Times New Roman" w:cs="Times New Roman"/>
          <w:color w:val="404040" w:themeColor="text1" w:themeTint="BF"/>
          <w:lang w:eastAsia="en-CA"/>
        </w:rPr>
        <w:t xml:space="preserve"> may be eligible </w:t>
      </w:r>
      <w:r>
        <w:rPr>
          <w:rFonts w:ascii="Times New Roman" w:hAnsi="Times New Roman" w:cs="Times New Roman"/>
          <w:color w:val="404040" w:themeColor="text1" w:themeTint="BF"/>
          <w:lang w:eastAsia="en-CA"/>
        </w:rPr>
        <w:t>for</w:t>
      </w:r>
      <w:r w:rsidRPr="005247E6">
        <w:rPr>
          <w:rFonts w:ascii="Times New Roman" w:hAnsi="Times New Roman" w:cs="Times New Roman"/>
          <w:color w:val="404040" w:themeColor="text1" w:themeTint="BF"/>
          <w:lang w:eastAsia="en-CA"/>
        </w:rPr>
        <w:t xml:space="preserve"> a rebate.</w:t>
      </w:r>
      <w:r>
        <w:rPr>
          <w:rFonts w:ascii="Times New Roman" w:hAnsi="Times New Roman" w:cs="Times New Roman"/>
          <w:color w:val="404040" w:themeColor="text1" w:themeTint="BF"/>
          <w:lang w:eastAsia="en-CA"/>
        </w:rPr>
        <w:t xml:space="preserve"> </w:t>
      </w:r>
    </w:p>
    <w:p w14:paraId="4F3BA386" w14:textId="77777777" w:rsidR="00D81109" w:rsidRDefault="00D81109" w:rsidP="00D81109">
      <w:pPr>
        <w:spacing w:after="0"/>
        <w:rPr>
          <w:lang w:eastAsia="en-CA"/>
        </w:rPr>
      </w:pPr>
    </w:p>
    <w:p w14:paraId="3DFD27EB" w14:textId="77777777" w:rsidR="00D81109" w:rsidRDefault="00D81109" w:rsidP="00D81109">
      <w:pPr>
        <w:spacing w:after="0"/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</w:pPr>
      <w:r w:rsidRPr="005247E6">
        <w:rPr>
          <w:rFonts w:ascii="Times New Roman" w:hAnsi="Times New Roman" w:cs="Times New Roman"/>
          <w:color w:val="404040" w:themeColor="text1" w:themeTint="BF"/>
          <w:lang w:eastAsia="en-CA"/>
        </w:rPr>
        <w:t>Similar to</w:t>
      </w:r>
      <w:r>
        <w:rPr>
          <w:rFonts w:ascii="Times New Roman" w:hAnsi="Times New Roman" w:cs="Times New Roman"/>
          <w:color w:val="404040" w:themeColor="text1" w:themeTint="BF"/>
          <w:lang w:eastAsia="en-CA"/>
        </w:rPr>
        <w:t xml:space="preserve"> International Fuel Tax Association</w:t>
      </w:r>
      <w:r w:rsidRPr="005247E6">
        <w:rPr>
          <w:rFonts w:ascii="Times New Roman" w:hAnsi="Times New Roman" w:cs="Times New Roman"/>
          <w:color w:val="404040" w:themeColor="text1" w:themeTint="BF"/>
          <w:lang w:eastAsia="en-CA"/>
        </w:rPr>
        <w:t xml:space="preserve"> </w:t>
      </w:r>
      <w:r>
        <w:rPr>
          <w:rFonts w:ascii="Times New Roman" w:hAnsi="Times New Roman" w:cs="Times New Roman"/>
          <w:color w:val="404040" w:themeColor="text1" w:themeTint="BF"/>
          <w:lang w:eastAsia="en-CA"/>
        </w:rPr>
        <w:t>(</w:t>
      </w:r>
      <w:r w:rsidRPr="005247E6">
        <w:rPr>
          <w:rFonts w:ascii="Times New Roman" w:hAnsi="Times New Roman" w:cs="Times New Roman"/>
          <w:color w:val="404040" w:themeColor="text1" w:themeTint="BF"/>
          <w:lang w:eastAsia="en-CA"/>
        </w:rPr>
        <w:t>IFTA</w:t>
      </w:r>
      <w:r>
        <w:rPr>
          <w:rFonts w:ascii="Times New Roman" w:hAnsi="Times New Roman" w:cs="Times New Roman"/>
          <w:color w:val="404040" w:themeColor="text1" w:themeTint="BF"/>
          <w:lang w:eastAsia="en-CA"/>
        </w:rPr>
        <w:t>)</w:t>
      </w:r>
      <w:r w:rsidRPr="005247E6">
        <w:rPr>
          <w:rFonts w:ascii="Times New Roman" w:hAnsi="Times New Roman" w:cs="Times New Roman"/>
          <w:color w:val="404040" w:themeColor="text1" w:themeTint="BF"/>
          <w:lang w:eastAsia="en-CA"/>
        </w:rPr>
        <w:t xml:space="preserve"> requirements,</w:t>
      </w:r>
      <w:r w:rsidRPr="005247E6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 </w:t>
      </w:r>
      <w:r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a </w:t>
      </w:r>
      <w:r w:rsidRPr="005247E6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>road carrier</w:t>
      </w:r>
      <w:r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 </w:t>
      </w:r>
      <w:r w:rsidRPr="005247E6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>will be required to complete and file a quarterly return</w:t>
      </w:r>
      <w:r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>. The return will</w:t>
      </w:r>
      <w:r w:rsidRPr="005247E6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 indicate the quantity of fuel that </w:t>
      </w:r>
      <w:proofErr w:type="gramStart"/>
      <w:r w:rsidRPr="005247E6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>is used</w:t>
      </w:r>
      <w:proofErr w:type="gramEnd"/>
      <w:r w:rsidRPr="005247E6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 </w:t>
      </w:r>
      <w:r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within </w:t>
      </w:r>
      <w:r w:rsidRPr="005247E6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>each listed province</w:t>
      </w:r>
      <w:r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. </w:t>
      </w:r>
    </w:p>
    <w:p w14:paraId="33F12CDA" w14:textId="77777777" w:rsidR="00D81109" w:rsidRDefault="00D81109" w:rsidP="00D81109">
      <w:pPr>
        <w:spacing w:after="0"/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</w:pPr>
    </w:p>
    <w:p w14:paraId="46526FCD" w14:textId="77777777" w:rsidR="00D81109" w:rsidRDefault="00D81109" w:rsidP="00D81109">
      <w:pPr>
        <w:spacing w:after="0"/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</w:pPr>
      <w:r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>D</w:t>
      </w:r>
      <w:r w:rsidRPr="005247E6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epending on its business activities </w:t>
      </w:r>
      <w:r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in a listed province </w:t>
      </w:r>
      <w:r w:rsidRPr="005247E6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over </w:t>
      </w:r>
      <w:r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>a</w:t>
      </w:r>
      <w:r w:rsidRPr="005247E6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 quarter</w:t>
      </w:r>
      <w:r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>, a</w:t>
      </w:r>
      <w:r w:rsidRPr="005247E6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 road carrier </w:t>
      </w:r>
      <w:r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may be entitled to claim a rebate, or required to pay the fuel charge.  Where a rebate is payable, the rebate would be filed with the </w:t>
      </w:r>
      <w:r w:rsidRPr="005247E6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quarterly </w:t>
      </w:r>
      <w:r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>return</w:t>
      </w:r>
      <w:r w:rsidRPr="005247E6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>.</w:t>
      </w:r>
      <w:r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 </w:t>
      </w:r>
      <w:r w:rsidRPr="005247E6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The </w:t>
      </w:r>
      <w:proofErr w:type="gramStart"/>
      <w:r w:rsidRPr="005247E6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>re</w:t>
      </w:r>
      <w:r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>turn,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 and the payment where required,</w:t>
      </w:r>
      <w:r w:rsidRPr="005247E6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 is due by the end of the month following the end of the quarter</w:t>
      </w:r>
      <w:r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>.</w:t>
      </w:r>
      <w:r w:rsidRPr="005247E6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 </w:t>
      </w:r>
      <w:r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>For example</w:t>
      </w:r>
      <w:r w:rsidRPr="005247E6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>, the April-June quarterly re</w:t>
      </w:r>
      <w:r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>turn</w:t>
      </w:r>
      <w:r w:rsidRPr="005247E6">
        <w:rPr>
          <w:rFonts w:ascii="Times New Roman" w:eastAsia="Times New Roman" w:hAnsi="Times New Roman" w:cs="Times New Roman"/>
          <w:color w:val="404040" w:themeColor="text1" w:themeTint="BF"/>
          <w:lang w:eastAsia="en-CA"/>
        </w:rPr>
        <w:t xml:space="preserve"> is due by the end of July.</w:t>
      </w:r>
    </w:p>
    <w:bookmarkEnd w:id="1"/>
    <w:p w14:paraId="6397E5AF" w14:textId="77777777" w:rsidR="00D81109" w:rsidRPr="00B023EF" w:rsidRDefault="00D81109" w:rsidP="00D81109">
      <w:pPr>
        <w:spacing w:after="0"/>
        <w:rPr>
          <w:rFonts w:ascii="Bookman Old Style" w:eastAsia="HGMinchoE" w:hAnsi="Bookman Old Style" w:cs="Times New Roman"/>
          <w:color w:val="727CA3"/>
          <w:sz w:val="24"/>
          <w:szCs w:val="24"/>
          <w:lang w:val="en-US" w:eastAsia="ja-JP"/>
        </w:rPr>
      </w:pPr>
    </w:p>
    <w:p w14:paraId="55535F16" w14:textId="77777777" w:rsidR="00D81109" w:rsidRPr="00D44DA4" w:rsidRDefault="00D81109" w:rsidP="00D81109">
      <w:pPr>
        <w:spacing w:after="0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D44DA4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More information</w:t>
      </w:r>
    </w:p>
    <w:p w14:paraId="7A73BA23" w14:textId="77777777" w:rsidR="00D81109" w:rsidRPr="005247E6" w:rsidRDefault="00D81109" w:rsidP="00D8110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5247E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 xml:space="preserve">Failure to apply for </w:t>
      </w:r>
      <w:proofErr w:type="gramStart"/>
      <w:r w:rsidRPr="005247E6">
        <w:rPr>
          <w:rFonts w:ascii="Times New Roman" w:eastAsia="Times New Roman" w:hAnsi="Times New Roman" w:cs="Times New Roman"/>
          <w:color w:val="404040" w:themeColor="text1" w:themeTint="BF"/>
        </w:rPr>
        <w:t>registration,</w:t>
      </w:r>
      <w:proofErr w:type="gramEnd"/>
      <w:r w:rsidRPr="005247E6">
        <w:rPr>
          <w:rFonts w:ascii="Times New Roman" w:eastAsia="Times New Roman" w:hAnsi="Times New Roman" w:cs="Times New Roman"/>
          <w:color w:val="404040" w:themeColor="text1" w:themeTint="BF"/>
        </w:rPr>
        <w:t xml:space="preserve"> or to pay the charge when required could result in possible penalties and interest. Penalties include $2,000 for failing to register when </w:t>
      </w:r>
      <w:proofErr w:type="gramStart"/>
      <w:r w:rsidRPr="005247E6">
        <w:rPr>
          <w:rFonts w:ascii="Times New Roman" w:eastAsia="Times New Roman" w:hAnsi="Times New Roman" w:cs="Times New Roman"/>
          <w:color w:val="404040" w:themeColor="text1" w:themeTint="BF"/>
        </w:rPr>
        <w:t>required to be registered</w:t>
      </w:r>
      <w:proofErr w:type="gramEnd"/>
      <w:r w:rsidRPr="005247E6">
        <w:rPr>
          <w:rFonts w:ascii="Times New Roman" w:eastAsia="Times New Roman" w:hAnsi="Times New Roman" w:cs="Times New Roman"/>
          <w:color w:val="404040" w:themeColor="text1" w:themeTint="BF"/>
        </w:rPr>
        <w:t xml:space="preserve"> under the Act.   </w:t>
      </w:r>
    </w:p>
    <w:p w14:paraId="44B8C72D" w14:textId="77777777" w:rsidR="00D81109" w:rsidRDefault="00D81109" w:rsidP="00D81109">
      <w:pPr>
        <w:spacing w:after="0" w:line="240" w:lineRule="auto"/>
        <w:rPr>
          <w:rFonts w:eastAsia="Times New Roman" w:cs="Arial"/>
          <w:color w:val="000000"/>
        </w:rPr>
      </w:pPr>
    </w:p>
    <w:p w14:paraId="7FBDE9ED" w14:textId="77777777" w:rsidR="00D81109" w:rsidRDefault="00D81109" w:rsidP="00D81109">
      <w:pPr>
        <w:spacing w:after="0" w:line="259" w:lineRule="auto"/>
      </w:pPr>
      <w:r w:rsidRPr="005247E6">
        <w:rPr>
          <w:rFonts w:ascii="Times New Roman" w:eastAsia="Times New Roman" w:hAnsi="Times New Roman" w:cs="Times New Roman"/>
          <w:color w:val="404040" w:themeColor="text1" w:themeTint="BF"/>
        </w:rPr>
        <w:t xml:space="preserve">Please visit </w:t>
      </w:r>
      <w:hyperlink r:id="rId8" w:history="1">
        <w:r w:rsidRPr="00D849D0">
          <w:rPr>
            <w:rStyle w:val="Hyperlink"/>
            <w:rFonts w:ascii="Times New Roman" w:eastAsia="Times New Roman" w:hAnsi="Times New Roman" w:cs="Times New Roman"/>
          </w:rPr>
          <w:t>canada.ca</w:t>
        </w:r>
      </w:hyperlink>
      <w:r w:rsidRPr="005247E6">
        <w:rPr>
          <w:rFonts w:ascii="Times New Roman" w:eastAsia="Times New Roman" w:hAnsi="Times New Roman" w:cs="Times New Roman"/>
          <w:color w:val="404040" w:themeColor="text1" w:themeTint="BF"/>
        </w:rPr>
        <w:t xml:space="preserve"> for </w:t>
      </w:r>
      <w:r>
        <w:rPr>
          <w:rFonts w:ascii="Times New Roman" w:eastAsia="Times New Roman" w:hAnsi="Times New Roman" w:cs="Times New Roman"/>
          <w:color w:val="404040" w:themeColor="text1" w:themeTint="BF"/>
        </w:rPr>
        <w:t>more</w:t>
      </w:r>
      <w:r w:rsidRPr="005247E6">
        <w:rPr>
          <w:rFonts w:ascii="Times New Roman" w:eastAsia="Times New Roman" w:hAnsi="Times New Roman" w:cs="Times New Roman"/>
          <w:color w:val="404040" w:themeColor="text1" w:themeTint="BF"/>
        </w:rPr>
        <w:t xml:space="preserve"> information</w:t>
      </w:r>
      <w:r>
        <w:rPr>
          <w:rFonts w:ascii="Times New Roman" w:eastAsia="Times New Roman" w:hAnsi="Times New Roman" w:cs="Times New Roman"/>
          <w:color w:val="404040" w:themeColor="text1" w:themeTint="BF"/>
        </w:rPr>
        <w:t>, including registration forms and fuel charge notices</w:t>
      </w:r>
      <w:r w:rsidRPr="005247E6">
        <w:rPr>
          <w:rFonts w:ascii="Times New Roman" w:eastAsia="Times New Roman" w:hAnsi="Times New Roman" w:cs="Times New Roman"/>
          <w:color w:val="404040" w:themeColor="text1" w:themeTint="BF"/>
        </w:rPr>
        <w:t>.</w:t>
      </w:r>
      <w:r w:rsidRPr="00BD7C90">
        <w:t xml:space="preserve"> </w:t>
      </w:r>
    </w:p>
    <w:p w14:paraId="33C42E79" w14:textId="77777777" w:rsidR="00D81109" w:rsidRDefault="00D81109" w:rsidP="00D81109">
      <w:pPr>
        <w:spacing w:after="0" w:line="259" w:lineRule="auto"/>
      </w:pPr>
    </w:p>
    <w:p w14:paraId="083797BA" w14:textId="77777777" w:rsidR="00D81109" w:rsidRPr="00BD7C90" w:rsidRDefault="00D81109" w:rsidP="00D81109">
      <w:pPr>
        <w:spacing w:after="0" w:line="259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You can reach the CRA at </w:t>
      </w:r>
      <w:hyperlink r:id="rId9" w:history="1">
        <w:r w:rsidRPr="00954DBC">
          <w:rPr>
            <w:rStyle w:val="Hyperlink"/>
            <w:rFonts w:ascii="Times New Roman" w:eastAsia="Times New Roman" w:hAnsi="Times New Roman" w:cs="Times New Roman"/>
          </w:rPr>
          <w:t>fuelcharge@cra-arc.gc.ca</w:t>
        </w:r>
      </w:hyperlink>
      <w:r>
        <w:rPr>
          <w:rFonts w:ascii="Times New Roman" w:eastAsia="Times New Roman" w:hAnsi="Times New Roman" w:cs="Times New Roman"/>
          <w:color w:val="404040" w:themeColor="text1" w:themeTint="BF"/>
        </w:rPr>
        <w:t xml:space="preserve">  for </w:t>
      </w:r>
      <w:r w:rsidRPr="00BD7C90">
        <w:rPr>
          <w:rFonts w:ascii="Times New Roman" w:eastAsia="Times New Roman" w:hAnsi="Times New Roman" w:cs="Times New Roman"/>
          <w:color w:val="404040" w:themeColor="text1" w:themeTint="BF"/>
        </w:rPr>
        <w:t>fuel charge questions.</w:t>
      </w:r>
    </w:p>
    <w:p w14:paraId="57C45DC9" w14:textId="77777777" w:rsidR="00D81109" w:rsidRPr="00C00451" w:rsidRDefault="00D81109" w:rsidP="00D81109">
      <w:pPr>
        <w:spacing w:after="0" w:line="259" w:lineRule="auto"/>
        <w:rPr>
          <w:rFonts w:eastAsia="Times New Roman" w:cs="Arial"/>
          <w:color w:val="000000"/>
        </w:rPr>
      </w:pPr>
    </w:p>
    <w:p w14:paraId="234ED019" w14:textId="77777777" w:rsidR="00D81109" w:rsidRPr="004F50C9" w:rsidRDefault="00D81109" w:rsidP="00D81109">
      <w:pPr>
        <w:pStyle w:val="Heading2"/>
        <w:rPr>
          <w:rFonts w:ascii="Century Gothic" w:hAnsi="Century Gothic"/>
          <w:color w:val="auto"/>
          <w:sz w:val="24"/>
          <w:szCs w:val="29"/>
          <w:lang w:val="en"/>
        </w:rPr>
      </w:pPr>
      <w:r w:rsidRPr="004F50C9">
        <w:rPr>
          <w:rFonts w:ascii="Century Gothic" w:hAnsi="Century Gothic"/>
          <w:color w:val="auto"/>
          <w:sz w:val="24"/>
          <w:szCs w:val="29"/>
          <w:lang w:val="en"/>
        </w:rPr>
        <w:t>Stay connected</w:t>
      </w:r>
    </w:p>
    <w:p w14:paraId="21920E06" w14:textId="77777777" w:rsidR="00D81109" w:rsidRPr="004F50C9" w:rsidRDefault="00D81109" w:rsidP="00D81109">
      <w:pPr>
        <w:pStyle w:val="NormalWeb"/>
        <w:spacing w:before="120" w:beforeAutospacing="0"/>
        <w:rPr>
          <w:rFonts w:ascii="Century Gothic" w:hAnsi="Century Gothic"/>
          <w:sz w:val="20"/>
          <w:szCs w:val="19"/>
          <w:lang w:val="en"/>
        </w:rPr>
      </w:pPr>
      <w:r w:rsidRPr="004F50C9">
        <w:rPr>
          <w:rFonts w:ascii="Century Gothic" w:hAnsi="Century Gothic"/>
          <w:sz w:val="20"/>
          <w:szCs w:val="19"/>
          <w:lang w:val="en"/>
        </w:rPr>
        <w:t>To receive updates on what is new at the Canada Revenue Agency (CRA), you can:</w:t>
      </w:r>
    </w:p>
    <w:p w14:paraId="5EDBA2FC" w14:textId="20A99A82" w:rsidR="00F97BBF" w:rsidRPr="00F97BBF" w:rsidRDefault="00F97BBF" w:rsidP="00F97BBF">
      <w:pPr>
        <w:pStyle w:val="ListParagraph"/>
        <w:numPr>
          <w:ilvl w:val="0"/>
          <w:numId w:val="2"/>
        </w:numPr>
        <w:shd w:val="clear" w:color="auto" w:fill="FFFFFF"/>
        <w:autoSpaceDN w:val="0"/>
        <w:rPr>
          <w:rFonts w:ascii="Century Gothic" w:hAnsi="Century Gothic"/>
          <w:lang w:val="en-US"/>
        </w:rPr>
      </w:pPr>
      <w:r>
        <w:rPr>
          <w:noProof/>
          <w:lang w:val="en-US"/>
        </w:rPr>
        <w:drawing>
          <wp:inline distT="0" distB="0" distL="0" distR="0" wp14:anchorId="74F09FF8" wp14:editId="41DD90FD">
            <wp:extent cx="140335" cy="156210"/>
            <wp:effectExtent l="0" t="0" r="0" b="0"/>
            <wp:docPr id="20" name="Picture 20" descr="cid:image002.jpg@01D3A731.3EF53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id:image002.jpg@01D3A731.3EF5361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> Like the CRA on</w:t>
      </w:r>
      <w:r>
        <w:t xml:space="preserve"> </w:t>
      </w:r>
      <w:hyperlink r:id="rId12" w:history="1">
        <w:r>
          <w:rPr>
            <w:rStyle w:val="Hyperlink"/>
            <w:rFonts w:ascii="Century Gothic" w:hAnsi="Century Gothic"/>
          </w:rPr>
          <w:t>Facebook</w:t>
        </w:r>
      </w:hyperlink>
    </w:p>
    <w:p w14:paraId="252DB931" w14:textId="77777777" w:rsidR="0055633D" w:rsidRPr="004F50C9" w:rsidRDefault="002D5F36" w:rsidP="002C5E73">
      <w:pPr>
        <w:numPr>
          <w:ilvl w:val="0"/>
          <w:numId w:val="2"/>
        </w:numPr>
        <w:spacing w:after="0" w:line="240" w:lineRule="auto"/>
        <w:ind w:left="714" w:hanging="357"/>
        <w:rPr>
          <w:rStyle w:val="Hyperlink"/>
          <w:rFonts w:ascii="Century Gothic" w:hAnsi="Century Gothic"/>
          <w:color w:val="auto"/>
          <w:sz w:val="20"/>
          <w:szCs w:val="19"/>
          <w:u w:val="none"/>
          <w:lang w:val="en"/>
        </w:rPr>
      </w:pPr>
      <w:r w:rsidRPr="004F50C9">
        <w:rPr>
          <w:rFonts w:ascii="Century Gothic" w:hAnsi="Century Gothic"/>
          <w:noProof/>
          <w:sz w:val="20"/>
          <w:szCs w:val="19"/>
          <w:lang w:val="en-US"/>
        </w:rPr>
        <w:drawing>
          <wp:inline distT="0" distB="0" distL="0" distR="0" wp14:anchorId="391ED364" wp14:editId="6EA07705">
            <wp:extent cx="155575" cy="155575"/>
            <wp:effectExtent l="0" t="0" r="0" b="0"/>
            <wp:docPr id="9" name="Picture 9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0C9">
        <w:rPr>
          <w:rFonts w:ascii="Century Gothic" w:hAnsi="Century Gothic"/>
          <w:sz w:val="20"/>
          <w:szCs w:val="19"/>
          <w:lang w:val="en"/>
        </w:rPr>
        <w:t xml:space="preserve"> Follow the CRA on Twitter - </w:t>
      </w:r>
      <w:hyperlink r:id="rId14" w:history="1">
        <w:r w:rsidRPr="004F50C9">
          <w:rPr>
            <w:rStyle w:val="Hyperlink"/>
            <w:rFonts w:ascii="Century Gothic" w:hAnsi="Century Gothic"/>
            <w:sz w:val="20"/>
            <w:szCs w:val="19"/>
            <w:lang w:val="en"/>
          </w:rPr>
          <w:t>@</w:t>
        </w:r>
        <w:proofErr w:type="spellStart"/>
        <w:r w:rsidRPr="004F50C9">
          <w:rPr>
            <w:rStyle w:val="Hyperlink"/>
            <w:rFonts w:ascii="Century Gothic" w:hAnsi="Century Gothic"/>
            <w:sz w:val="20"/>
            <w:szCs w:val="19"/>
            <w:lang w:val="en"/>
          </w:rPr>
          <w:t>CanRevAgency</w:t>
        </w:r>
        <w:proofErr w:type="spellEnd"/>
      </w:hyperlink>
      <w:r w:rsidR="009918B7" w:rsidRPr="004F50C9">
        <w:rPr>
          <w:rFonts w:ascii="Century Gothic" w:hAnsi="Century Gothic"/>
          <w:sz w:val="20"/>
          <w:szCs w:val="19"/>
          <w:lang w:val="en"/>
        </w:rPr>
        <w:t>.</w:t>
      </w:r>
    </w:p>
    <w:p w14:paraId="66265D59" w14:textId="77777777" w:rsidR="009918B7" w:rsidRPr="004F50C9" w:rsidRDefault="009918B7" w:rsidP="002C5E73">
      <w:pPr>
        <w:numPr>
          <w:ilvl w:val="0"/>
          <w:numId w:val="2"/>
        </w:numPr>
        <w:spacing w:after="0" w:line="240" w:lineRule="auto"/>
        <w:ind w:left="714" w:hanging="357"/>
        <w:rPr>
          <w:rFonts w:ascii="Century Gothic" w:hAnsi="Century Gothic"/>
          <w:sz w:val="20"/>
          <w:szCs w:val="19"/>
          <w:lang w:val="en"/>
        </w:rPr>
      </w:pPr>
      <w:r w:rsidRPr="004F50C9">
        <w:rPr>
          <w:rFonts w:ascii="Century Gothic" w:hAnsi="Century Gothic"/>
          <w:noProof/>
          <w:sz w:val="20"/>
          <w:szCs w:val="19"/>
          <w:lang w:val="en-US"/>
        </w:rPr>
        <w:drawing>
          <wp:inline distT="0" distB="0" distL="0" distR="0" wp14:anchorId="1D02F6E6" wp14:editId="15C6A79B">
            <wp:extent cx="133350" cy="133350"/>
            <wp:effectExtent l="0" t="0" r="0" b="0"/>
            <wp:docPr id="12" name="Picture 12" descr="\\Omega.dce-eir.net\natdfs\CRA\HQ\PAB\PAB_H01\UV2\RXS514\HomeDir\My Documents\My Pictures\In-2C-14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\\Omega.dce-eir.net\natdfs\CRA\HQ\PAB\PAB_H01\UV2\RXS514\HomeDir\My Documents\My Pictures\In-2C-14px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0C9">
        <w:rPr>
          <w:rFonts w:ascii="Century Gothic" w:hAnsi="Century Gothic"/>
          <w:sz w:val="20"/>
          <w:szCs w:val="19"/>
          <w:lang w:val="en-US"/>
        </w:rPr>
        <w:t xml:space="preserve"> Follow the CRA on </w:t>
      </w:r>
      <w:hyperlink r:id="rId16" w:history="1">
        <w:r w:rsidRPr="004F50C9">
          <w:rPr>
            <w:rStyle w:val="Hyperlink"/>
            <w:rFonts w:ascii="Century Gothic" w:hAnsi="Century Gothic"/>
            <w:sz w:val="20"/>
            <w:szCs w:val="19"/>
            <w:lang w:val="en-US"/>
          </w:rPr>
          <w:t>LinkedIn</w:t>
        </w:r>
      </w:hyperlink>
      <w:r w:rsidRPr="004F50C9">
        <w:rPr>
          <w:rFonts w:ascii="Century Gothic" w:hAnsi="Century Gothic"/>
          <w:sz w:val="20"/>
          <w:szCs w:val="19"/>
          <w:lang w:val="en"/>
        </w:rPr>
        <w:t>.</w:t>
      </w:r>
    </w:p>
    <w:p w14:paraId="68D80349" w14:textId="77777777" w:rsidR="0055633D" w:rsidRPr="004F50C9" w:rsidRDefault="002D5F36" w:rsidP="002C5E73">
      <w:pPr>
        <w:numPr>
          <w:ilvl w:val="0"/>
          <w:numId w:val="2"/>
        </w:numPr>
        <w:spacing w:after="0" w:line="240" w:lineRule="auto"/>
        <w:ind w:left="714" w:hanging="357"/>
        <w:rPr>
          <w:rFonts w:ascii="Century Gothic" w:hAnsi="Century Gothic"/>
          <w:sz w:val="20"/>
          <w:szCs w:val="19"/>
          <w:lang w:val="en"/>
        </w:rPr>
      </w:pPr>
      <w:r w:rsidRPr="004F50C9">
        <w:rPr>
          <w:rFonts w:ascii="Century Gothic" w:hAnsi="Century Gothic"/>
          <w:noProof/>
          <w:sz w:val="20"/>
          <w:szCs w:val="19"/>
          <w:lang w:val="en-US"/>
        </w:rPr>
        <w:drawing>
          <wp:inline distT="0" distB="0" distL="0" distR="0" wp14:anchorId="011894D1" wp14:editId="2711CF8C">
            <wp:extent cx="155575" cy="155575"/>
            <wp:effectExtent l="0" t="0" r="0" b="0"/>
            <wp:docPr id="8" name="Picture 8" descr="Email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mail ico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0C9">
        <w:rPr>
          <w:rFonts w:ascii="Century Gothic" w:hAnsi="Century Gothic"/>
          <w:sz w:val="20"/>
          <w:szCs w:val="19"/>
          <w:lang w:val="en"/>
        </w:rPr>
        <w:t xml:space="preserve"> Subscribe to a CRA </w:t>
      </w:r>
      <w:hyperlink r:id="rId18" w:history="1">
        <w:r w:rsidRPr="004F50C9">
          <w:rPr>
            <w:rStyle w:val="Hyperlink"/>
            <w:rFonts w:ascii="Century Gothic" w:hAnsi="Century Gothic"/>
            <w:sz w:val="20"/>
            <w:szCs w:val="19"/>
            <w:lang w:val="en"/>
          </w:rPr>
          <w:t>electronic mailing list</w:t>
        </w:r>
      </w:hyperlink>
      <w:r w:rsidRPr="004F50C9">
        <w:rPr>
          <w:rFonts w:ascii="Century Gothic" w:hAnsi="Century Gothic"/>
          <w:sz w:val="20"/>
          <w:szCs w:val="19"/>
          <w:lang w:val="en"/>
        </w:rPr>
        <w:t>.</w:t>
      </w:r>
    </w:p>
    <w:p w14:paraId="4202ED33" w14:textId="77777777" w:rsidR="0055633D" w:rsidRPr="004F50C9" w:rsidRDefault="002D5F36" w:rsidP="002C5E73">
      <w:pPr>
        <w:numPr>
          <w:ilvl w:val="0"/>
          <w:numId w:val="2"/>
        </w:numPr>
        <w:spacing w:after="0" w:line="240" w:lineRule="auto"/>
        <w:ind w:left="714" w:hanging="357"/>
        <w:rPr>
          <w:rFonts w:ascii="Century Gothic" w:hAnsi="Century Gothic"/>
          <w:sz w:val="20"/>
          <w:szCs w:val="19"/>
          <w:lang w:val="en"/>
        </w:rPr>
      </w:pPr>
      <w:r w:rsidRPr="004F50C9">
        <w:rPr>
          <w:rFonts w:ascii="Century Gothic" w:hAnsi="Century Gothic"/>
          <w:noProof/>
          <w:sz w:val="20"/>
          <w:szCs w:val="19"/>
          <w:lang w:val="en-US"/>
        </w:rPr>
        <w:drawing>
          <wp:inline distT="0" distB="0" distL="0" distR="0" wp14:anchorId="7153FB7C" wp14:editId="3DE3B048">
            <wp:extent cx="155575" cy="155575"/>
            <wp:effectExtent l="0" t="0" r="0" b="0"/>
            <wp:docPr id="5" name="Picture 5" descr="RS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SS ico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0C9">
        <w:rPr>
          <w:rFonts w:ascii="Century Gothic" w:hAnsi="Century Gothic"/>
          <w:sz w:val="20"/>
          <w:szCs w:val="19"/>
          <w:lang w:val="en"/>
        </w:rPr>
        <w:t xml:space="preserve"> Add our </w:t>
      </w:r>
      <w:hyperlink r:id="rId20" w:history="1">
        <w:r w:rsidRPr="004F50C9">
          <w:rPr>
            <w:rStyle w:val="Hyperlink"/>
            <w:rFonts w:ascii="Century Gothic" w:hAnsi="Century Gothic"/>
            <w:sz w:val="20"/>
            <w:szCs w:val="19"/>
            <w:lang w:val="en"/>
          </w:rPr>
          <w:t>RSS feeds</w:t>
        </w:r>
      </w:hyperlink>
      <w:r w:rsidRPr="004F50C9">
        <w:rPr>
          <w:rFonts w:ascii="Century Gothic" w:hAnsi="Century Gothic"/>
          <w:sz w:val="20"/>
          <w:szCs w:val="19"/>
          <w:lang w:val="en"/>
        </w:rPr>
        <w:t xml:space="preserve"> to your feed reader</w:t>
      </w:r>
    </w:p>
    <w:p w14:paraId="055283AA" w14:textId="5A1C5832" w:rsidR="009919B5" w:rsidRDefault="004F50C9" w:rsidP="00474F61">
      <w:pPr>
        <w:numPr>
          <w:ilvl w:val="0"/>
          <w:numId w:val="2"/>
        </w:numPr>
        <w:spacing w:after="0" w:line="240" w:lineRule="auto"/>
        <w:ind w:left="714" w:hanging="357"/>
        <w:rPr>
          <w:rFonts w:ascii="Century Gothic" w:hAnsi="Century Gothic"/>
          <w:sz w:val="20"/>
          <w:szCs w:val="19"/>
          <w:lang w:val="en"/>
        </w:rPr>
      </w:pPr>
      <w:r w:rsidRPr="004F50C9">
        <w:rPr>
          <w:rFonts w:ascii="Century Gothic" w:hAnsi="Century Gothic"/>
          <w:noProof/>
          <w:lang w:val="en-US"/>
        </w:rPr>
        <w:drawing>
          <wp:inline distT="0" distB="0" distL="0" distR="0" wp14:anchorId="62EE8F7F" wp14:editId="5F94340D">
            <wp:extent cx="148590" cy="148590"/>
            <wp:effectExtent l="0" t="0" r="3810" b="3810"/>
            <wp:docPr id="13" name="Picture 2" descr="YouTub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uTube icon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5422" w:rsidRPr="00ED1CE2">
        <w:rPr>
          <w:rFonts w:ascii="Century Gothic" w:hAnsi="Century Gothic"/>
        </w:rPr>
        <w:t xml:space="preserve"> </w:t>
      </w:r>
      <w:r w:rsidR="000660C7" w:rsidRPr="00ED1CE2">
        <w:rPr>
          <w:rFonts w:ascii="Century Gothic" w:hAnsi="Century Gothic"/>
        </w:rPr>
        <w:t>Watch</w:t>
      </w:r>
      <w:r w:rsidR="002D5F36" w:rsidRPr="00ED1CE2">
        <w:rPr>
          <w:rFonts w:ascii="Century Gothic" w:hAnsi="Century Gothic"/>
          <w:sz w:val="20"/>
          <w:szCs w:val="19"/>
          <w:lang w:val="en"/>
        </w:rPr>
        <w:t xml:space="preserve"> our tax-related videos on </w:t>
      </w:r>
      <w:hyperlink r:id="rId22" w:history="1">
        <w:r w:rsidR="002D5F36" w:rsidRPr="00ED1CE2">
          <w:rPr>
            <w:rStyle w:val="Hyperlink"/>
            <w:rFonts w:ascii="Century Gothic" w:hAnsi="Century Gothic"/>
            <w:sz w:val="20"/>
            <w:szCs w:val="19"/>
            <w:lang w:val="en"/>
          </w:rPr>
          <w:t>YouTube</w:t>
        </w:r>
      </w:hyperlink>
      <w:r w:rsidR="002D5F36" w:rsidRPr="00ED1CE2">
        <w:rPr>
          <w:rFonts w:ascii="Century Gothic" w:hAnsi="Century Gothic"/>
          <w:sz w:val="20"/>
          <w:szCs w:val="19"/>
          <w:lang w:val="en"/>
        </w:rPr>
        <w:t xml:space="preserve">. </w:t>
      </w:r>
    </w:p>
    <w:sectPr w:rsidR="009919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YouTube icon" style="width:14.4pt;height:14.4pt;visibility:visible;mso-wrap-style:square" o:bullet="t">
        <v:imagedata r:id="rId1" o:title="YouTube icon"/>
      </v:shape>
    </w:pict>
  </w:numPicBullet>
  <w:abstractNum w:abstractNumId="0" w15:restartNumberingAfterBreak="0">
    <w:nsid w:val="1F937D28"/>
    <w:multiLevelType w:val="hybridMultilevel"/>
    <w:tmpl w:val="F550BCAE"/>
    <w:lvl w:ilvl="0" w:tplc="E8161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21B41"/>
    <w:multiLevelType w:val="hybridMultilevel"/>
    <w:tmpl w:val="811697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9021C"/>
    <w:multiLevelType w:val="multilevel"/>
    <w:tmpl w:val="8E24A002"/>
    <w:lvl w:ilvl="0">
      <w:start w:val="1"/>
      <w:numFmt w:val="bullet"/>
      <w:lvlText w:val=""/>
      <w:lvlJc w:val="left"/>
      <w:pPr>
        <w:tabs>
          <w:tab w:val="num" w:pos="785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395A27"/>
    <w:multiLevelType w:val="multilevel"/>
    <w:tmpl w:val="B2700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FA4759"/>
    <w:multiLevelType w:val="multilevel"/>
    <w:tmpl w:val="CC98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301788"/>
    <w:multiLevelType w:val="multilevel"/>
    <w:tmpl w:val="E662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F25881"/>
    <w:multiLevelType w:val="hybridMultilevel"/>
    <w:tmpl w:val="4D9CE4A2"/>
    <w:lvl w:ilvl="0" w:tplc="1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B5"/>
    <w:rsid w:val="000006D8"/>
    <w:rsid w:val="000660C7"/>
    <w:rsid w:val="000F2F28"/>
    <w:rsid w:val="00110CEE"/>
    <w:rsid w:val="00143261"/>
    <w:rsid w:val="0016402E"/>
    <w:rsid w:val="001A0A8B"/>
    <w:rsid w:val="002153A7"/>
    <w:rsid w:val="0029714B"/>
    <w:rsid w:val="002A2CA4"/>
    <w:rsid w:val="002C5E73"/>
    <w:rsid w:val="002D5F36"/>
    <w:rsid w:val="002E1AB4"/>
    <w:rsid w:val="00323B98"/>
    <w:rsid w:val="00326F34"/>
    <w:rsid w:val="003B57E7"/>
    <w:rsid w:val="003B7DAF"/>
    <w:rsid w:val="003C0778"/>
    <w:rsid w:val="00450D41"/>
    <w:rsid w:val="0048677F"/>
    <w:rsid w:val="004B0387"/>
    <w:rsid w:val="004B1790"/>
    <w:rsid w:val="004B43EA"/>
    <w:rsid w:val="004E69B4"/>
    <w:rsid w:val="004F50C9"/>
    <w:rsid w:val="00514249"/>
    <w:rsid w:val="0055633D"/>
    <w:rsid w:val="0056612D"/>
    <w:rsid w:val="005914B4"/>
    <w:rsid w:val="00597CC8"/>
    <w:rsid w:val="005A2A27"/>
    <w:rsid w:val="005A776B"/>
    <w:rsid w:val="005B0503"/>
    <w:rsid w:val="00615122"/>
    <w:rsid w:val="00651A59"/>
    <w:rsid w:val="006565DE"/>
    <w:rsid w:val="00695B02"/>
    <w:rsid w:val="006D010C"/>
    <w:rsid w:val="006E02AD"/>
    <w:rsid w:val="00741428"/>
    <w:rsid w:val="007974B4"/>
    <w:rsid w:val="007B69DB"/>
    <w:rsid w:val="00804EC2"/>
    <w:rsid w:val="00813642"/>
    <w:rsid w:val="008303AC"/>
    <w:rsid w:val="008315AE"/>
    <w:rsid w:val="00875422"/>
    <w:rsid w:val="00891F8D"/>
    <w:rsid w:val="008A6965"/>
    <w:rsid w:val="008F6F3D"/>
    <w:rsid w:val="009918B7"/>
    <w:rsid w:val="009919B5"/>
    <w:rsid w:val="009939F8"/>
    <w:rsid w:val="009B5193"/>
    <w:rsid w:val="00A35F51"/>
    <w:rsid w:val="00A70FE6"/>
    <w:rsid w:val="00A80A03"/>
    <w:rsid w:val="00A830F1"/>
    <w:rsid w:val="00AA095C"/>
    <w:rsid w:val="00AC5416"/>
    <w:rsid w:val="00B117ED"/>
    <w:rsid w:val="00B5399F"/>
    <w:rsid w:val="00BD7C90"/>
    <w:rsid w:val="00BF6AB4"/>
    <w:rsid w:val="00C221B3"/>
    <w:rsid w:val="00C24697"/>
    <w:rsid w:val="00C53669"/>
    <w:rsid w:val="00C56BBE"/>
    <w:rsid w:val="00C71BD4"/>
    <w:rsid w:val="00C97C5E"/>
    <w:rsid w:val="00CC36E4"/>
    <w:rsid w:val="00D02B2D"/>
    <w:rsid w:val="00D25737"/>
    <w:rsid w:val="00D6180F"/>
    <w:rsid w:val="00D65E9B"/>
    <w:rsid w:val="00D72496"/>
    <w:rsid w:val="00D81109"/>
    <w:rsid w:val="00D849D0"/>
    <w:rsid w:val="00E2101E"/>
    <w:rsid w:val="00E66DA1"/>
    <w:rsid w:val="00ED1CE2"/>
    <w:rsid w:val="00F45F32"/>
    <w:rsid w:val="00F602AA"/>
    <w:rsid w:val="00F61A4C"/>
    <w:rsid w:val="00F65514"/>
    <w:rsid w:val="00F903C0"/>
    <w:rsid w:val="00F9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474D8"/>
  <w15:docId w15:val="{680CE2FC-C12F-4E0F-9BAA-31030051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5F36"/>
    <w:p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5F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9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919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9919B5"/>
    <w:rPr>
      <w:b/>
      <w:bCs/>
    </w:rPr>
  </w:style>
  <w:style w:type="paragraph" w:styleId="NoteHeading">
    <w:name w:val="Note Heading"/>
    <w:basedOn w:val="Normal"/>
    <w:link w:val="NoteHeadingChar"/>
    <w:uiPriority w:val="99"/>
    <w:semiHidden/>
    <w:unhideWhenUsed/>
    <w:rsid w:val="009919B5"/>
    <w:rPr>
      <w:rFonts w:ascii="Calibri" w:hAnsi="Calibri" w:cs="Calibri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919B5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2D5F36"/>
    <w:rPr>
      <w:rFonts w:ascii="Times New Roman" w:eastAsia="Times New Roman" w:hAnsi="Times New Roman" w:cs="Times New Roman"/>
      <w:b/>
      <w:bCs/>
      <w:kern w:val="36"/>
      <w:sz w:val="41"/>
      <w:szCs w:val="41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2D5F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nhideWhenUsed/>
    <w:rsid w:val="002D5F3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D5F36"/>
    <w:rPr>
      <w:i/>
      <w:iCs/>
    </w:rPr>
  </w:style>
  <w:style w:type="paragraph" w:customStyle="1" w:styleId="align-center">
    <w:name w:val="align-center"/>
    <w:basedOn w:val="Normal"/>
    <w:rsid w:val="002D5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C2469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006D8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character" w:customStyle="1" w:styleId="nowrap">
    <w:name w:val="nowrap"/>
    <w:basedOn w:val="DefaultParagraphFont"/>
    <w:rsid w:val="00323B98"/>
  </w:style>
  <w:style w:type="character" w:styleId="CommentReference">
    <w:name w:val="annotation reference"/>
    <w:basedOn w:val="DefaultParagraphFont"/>
    <w:uiPriority w:val="99"/>
    <w:semiHidden/>
    <w:unhideWhenUsed/>
    <w:rsid w:val="00F60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02AA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02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669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6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5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9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24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8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0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2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8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2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revenue-agency/services/tax/excise-taxes-duties-levies/fuel-charge.html" TargetMode="External"/><Relationship Id="rId13" Type="http://schemas.openxmlformats.org/officeDocument/2006/relationships/image" Target="media/image5.gif"/><Relationship Id="rId18" Type="http://schemas.openxmlformats.org/officeDocument/2006/relationships/hyperlink" Target="http://www.cra-arc.gc.ca/esrvc-srvce/mllst/sbscrb-eng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s://www.canada.ca/en/revenue-agency/services/tax/excise-taxes-duties-levies/fuel-charge/registration.html" TargetMode="External"/><Relationship Id="rId12" Type="http://schemas.openxmlformats.org/officeDocument/2006/relationships/hyperlink" Target="https://www.facebook.com/canrevagency/" TargetMode="External"/><Relationship Id="rId17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hyperlink" Target="https://www.linkedin.com/company/cra-arc" TargetMode="External"/><Relationship Id="rId20" Type="http://schemas.openxmlformats.org/officeDocument/2006/relationships/hyperlink" Target="http://www.cra-arc.gc.ca/esrvc-srvce/rss/menu-eng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cid:image002.jpg@01D3D315.3D892B50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8.gif"/><Relationship Id="rId4" Type="http://schemas.openxmlformats.org/officeDocument/2006/relationships/webSettings" Target="webSettings.xml"/><Relationship Id="rId9" Type="http://schemas.openxmlformats.org/officeDocument/2006/relationships/hyperlink" Target="mailto:fuelcharge@cra-arc.gc.ca" TargetMode="External"/><Relationship Id="rId14" Type="http://schemas.openxmlformats.org/officeDocument/2006/relationships/hyperlink" Target="http://twitter.com/canrevagency" TargetMode="External"/><Relationship Id="rId22" Type="http://schemas.openxmlformats.org/officeDocument/2006/relationships/hyperlink" Target="http://www.youtube.com/canrevagenc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Canada / Gouvernement du Canada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Catherine</dc:creator>
  <cp:lastModifiedBy>Brian Parke</cp:lastModifiedBy>
  <cp:revision>2</cp:revision>
  <cp:lastPrinted>2019-01-17T19:57:00Z</cp:lastPrinted>
  <dcterms:created xsi:type="dcterms:W3CDTF">2019-03-14T19:13:00Z</dcterms:created>
  <dcterms:modified xsi:type="dcterms:W3CDTF">2019-03-14T19:13:00Z</dcterms:modified>
</cp:coreProperties>
</file>